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2ECD" w:rsidRPr="00AC0636" w:rsidRDefault="00692ECD" w:rsidP="00692ECD">
      <w:pPr>
        <w:pStyle w:val="ListParagraph"/>
        <w:ind w:left="1080"/>
        <w:jc w:val="center"/>
        <w:rPr>
          <w:bCs/>
          <w:szCs w:val="32"/>
        </w:rPr>
      </w:pPr>
      <w:r w:rsidRPr="00AC0636">
        <w:rPr>
          <w:b/>
          <w:bCs/>
          <w:sz w:val="32"/>
          <w:szCs w:val="32"/>
        </w:rPr>
        <w:t>Single Stage Open Competitive Selection – Request for Proposals</w:t>
      </w:r>
    </w:p>
    <w:p w:rsidR="00692ECD" w:rsidRPr="001539B5" w:rsidRDefault="00692ECD" w:rsidP="00692ECD">
      <w:pPr>
        <w:ind w:left="56"/>
        <w:rPr>
          <w:lang w:val="en-GB" w:eastAsia="en-GB"/>
        </w:rPr>
      </w:pPr>
      <w:bookmarkStart w:id="0" w:name="S23_if2E_it2E"/>
      <w:bookmarkStart w:id="1" w:name="S24_air2E_fit2E_in2E"/>
      <w:bookmarkStart w:id="2" w:name="S25"/>
      <w:bookmarkStart w:id="3" w:name="S26"/>
      <w:bookmarkEnd w:id="0"/>
      <w:bookmarkEnd w:id="1"/>
      <w:bookmarkEnd w:id="2"/>
      <w:bookmarkEnd w:id="3"/>
    </w:p>
    <w:tbl>
      <w:tblPr>
        <w:tblpPr w:leftFromText="36" w:rightFromText="36" w:vertAnchor="text" w:tblpX="110"/>
        <w:tblW w:w="4875" w:type="pct"/>
        <w:tblBorders>
          <w:top w:val="single" w:sz="4" w:space="0" w:color="D2E9FF"/>
          <w:left w:val="single" w:sz="4" w:space="0" w:color="D2E9FF"/>
          <w:bottom w:val="single" w:sz="4" w:space="0" w:color="D2E9FF"/>
          <w:right w:val="single" w:sz="4" w:space="0" w:color="D2E9FF"/>
        </w:tblBorders>
        <w:tblCellMar>
          <w:top w:w="36" w:type="dxa"/>
          <w:left w:w="36" w:type="dxa"/>
          <w:bottom w:w="36" w:type="dxa"/>
          <w:right w:w="36" w:type="dxa"/>
        </w:tblCellMar>
        <w:tblLook w:val="0000" w:firstRow="0" w:lastRow="0" w:firstColumn="0" w:lastColumn="0" w:noHBand="0" w:noVBand="0"/>
      </w:tblPr>
      <w:tblGrid>
        <w:gridCol w:w="2409"/>
        <w:gridCol w:w="6462"/>
      </w:tblGrid>
      <w:tr w:rsidR="00692ECD" w:rsidRPr="001539B5" w:rsidTr="002A425A">
        <w:tc>
          <w:tcPr>
            <w:tcW w:w="1358" w:type="pct"/>
            <w:shd w:val="clear" w:color="auto" w:fill="auto"/>
          </w:tcPr>
          <w:p w:rsidR="00692ECD" w:rsidRPr="00BC116E" w:rsidRDefault="00692ECD" w:rsidP="002A425A">
            <w:pPr>
              <w:rPr>
                <w:b/>
                <w:bCs/>
                <w:color w:val="0066CC"/>
                <w:lang w:val="en-GB" w:eastAsia="en-GB"/>
              </w:rPr>
            </w:pPr>
            <w:r w:rsidRPr="00BC116E">
              <w:rPr>
                <w:b/>
                <w:bCs/>
                <w:color w:val="0066CC"/>
                <w:lang w:val="en-GB" w:eastAsia="en-GB"/>
              </w:rPr>
              <w:t>Assignment name</w:t>
            </w:r>
          </w:p>
        </w:tc>
        <w:tc>
          <w:tcPr>
            <w:tcW w:w="3642" w:type="pct"/>
            <w:shd w:val="clear" w:color="auto" w:fill="auto"/>
          </w:tcPr>
          <w:p w:rsidR="00692ECD" w:rsidRPr="00BC116E" w:rsidRDefault="00692ECD" w:rsidP="002A425A">
            <w:pPr>
              <w:rPr>
                <w:color w:val="000000"/>
                <w:lang w:val="en-GB" w:eastAsia="en-GB"/>
              </w:rPr>
            </w:pPr>
            <w:r w:rsidRPr="00BC116E">
              <w:rPr>
                <w:color w:val="000000"/>
                <w:lang w:val="en-GB" w:eastAsia="en-GB"/>
              </w:rPr>
              <w:t xml:space="preserve"> </w:t>
            </w:r>
            <w:r w:rsidR="00953151" w:rsidRPr="00953151">
              <w:rPr>
                <w:lang w:val="en-GB"/>
              </w:rPr>
              <w:t>DEVELOPMENT AND MAINTENANCE OF THE NCI JORDAN OPEN INNOVATION PLATFORM (JOIP)</w:t>
            </w:r>
            <w:r w:rsidR="00953151" w:rsidRPr="00BC116E">
              <w:rPr>
                <w:color w:val="000000"/>
                <w:lang w:val="en-GB" w:eastAsia="en-GB"/>
              </w:rPr>
              <w:t xml:space="preserve"> </w:t>
            </w:r>
            <w:r w:rsidRPr="00BC116E">
              <w:rPr>
                <w:color w:val="000000"/>
                <w:lang w:val="en-GB" w:eastAsia="en-GB"/>
              </w:rPr>
              <w:t>("The Assignment")</w:t>
            </w:r>
          </w:p>
        </w:tc>
      </w:tr>
      <w:tr w:rsidR="00692ECD" w:rsidRPr="001539B5" w:rsidTr="002A425A">
        <w:tc>
          <w:tcPr>
            <w:tcW w:w="1358" w:type="pct"/>
            <w:shd w:val="clear" w:color="auto" w:fill="auto"/>
          </w:tcPr>
          <w:p w:rsidR="00692ECD" w:rsidRPr="00BC116E" w:rsidRDefault="00692ECD" w:rsidP="002A425A">
            <w:pPr>
              <w:rPr>
                <w:b/>
                <w:bCs/>
                <w:color w:val="0066CC"/>
                <w:lang w:val="en-GB" w:eastAsia="en-GB"/>
              </w:rPr>
            </w:pPr>
            <w:r w:rsidRPr="00BC116E">
              <w:rPr>
                <w:b/>
                <w:bCs/>
                <w:color w:val="0066CC"/>
                <w:lang w:val="en-GB" w:eastAsia="en-GB"/>
              </w:rPr>
              <w:t>Procurement ref:</w:t>
            </w:r>
          </w:p>
        </w:tc>
        <w:tc>
          <w:tcPr>
            <w:tcW w:w="3642" w:type="pct"/>
            <w:shd w:val="clear" w:color="auto" w:fill="auto"/>
          </w:tcPr>
          <w:p w:rsidR="00692ECD" w:rsidRPr="00BC116E" w:rsidRDefault="00692ECD" w:rsidP="00953151">
            <w:pPr>
              <w:rPr>
                <w:color w:val="000000"/>
                <w:lang w:val="en-GB" w:eastAsia="en-GB"/>
              </w:rPr>
            </w:pPr>
          </w:p>
        </w:tc>
      </w:tr>
      <w:tr w:rsidR="00692ECD" w:rsidRPr="001539B5" w:rsidTr="002A425A">
        <w:tc>
          <w:tcPr>
            <w:tcW w:w="1358" w:type="pct"/>
            <w:shd w:val="clear" w:color="auto" w:fill="auto"/>
          </w:tcPr>
          <w:p w:rsidR="00692ECD" w:rsidRPr="00BC116E" w:rsidRDefault="00692ECD" w:rsidP="002A425A">
            <w:pPr>
              <w:rPr>
                <w:b/>
                <w:bCs/>
                <w:color w:val="0066CC"/>
                <w:lang w:val="en-GB" w:eastAsia="en-GB"/>
              </w:rPr>
            </w:pPr>
            <w:r w:rsidRPr="00BC116E">
              <w:rPr>
                <w:b/>
                <w:bCs/>
                <w:color w:val="0066CC"/>
                <w:lang w:val="en-GB" w:eastAsia="en-GB"/>
              </w:rPr>
              <w:t>Business sector:</w:t>
            </w:r>
          </w:p>
        </w:tc>
        <w:tc>
          <w:tcPr>
            <w:tcW w:w="3642" w:type="pct"/>
            <w:shd w:val="clear" w:color="auto" w:fill="auto"/>
          </w:tcPr>
          <w:p w:rsidR="00692ECD" w:rsidRPr="00BC116E" w:rsidRDefault="00692ECD" w:rsidP="002A425A">
            <w:pPr>
              <w:rPr>
                <w:color w:val="000000"/>
                <w:lang w:val="en-GB" w:eastAsia="en-GB"/>
              </w:rPr>
            </w:pPr>
          </w:p>
        </w:tc>
      </w:tr>
      <w:tr w:rsidR="00692ECD" w:rsidRPr="001539B5" w:rsidTr="002A425A">
        <w:tc>
          <w:tcPr>
            <w:tcW w:w="1358" w:type="pct"/>
            <w:shd w:val="clear" w:color="auto" w:fill="auto"/>
          </w:tcPr>
          <w:p w:rsidR="00692ECD" w:rsidRPr="00BC116E" w:rsidRDefault="00692ECD" w:rsidP="002A425A">
            <w:pPr>
              <w:rPr>
                <w:b/>
                <w:bCs/>
                <w:color w:val="0066CC"/>
                <w:lang w:val="en-GB" w:eastAsia="en-GB"/>
              </w:rPr>
            </w:pPr>
            <w:r w:rsidRPr="00BC116E">
              <w:rPr>
                <w:b/>
                <w:bCs/>
                <w:color w:val="0066CC"/>
                <w:lang w:val="en-GB" w:eastAsia="en-GB"/>
              </w:rPr>
              <w:t>Project number:</w:t>
            </w:r>
          </w:p>
        </w:tc>
        <w:tc>
          <w:tcPr>
            <w:tcW w:w="3642" w:type="pct"/>
            <w:shd w:val="clear" w:color="auto" w:fill="auto"/>
          </w:tcPr>
          <w:p w:rsidR="00692ECD" w:rsidRPr="00BC116E" w:rsidRDefault="00953151" w:rsidP="002A425A">
            <w:pPr>
              <w:rPr>
                <w:color w:val="000000"/>
                <w:lang w:val="en-GB" w:eastAsia="en-GB"/>
              </w:rPr>
            </w:pPr>
            <w:r>
              <w:rPr>
                <w:color w:val="000000"/>
                <w:lang w:val="en-GB" w:eastAsia="en-GB"/>
              </w:rPr>
              <w:t>TCRS 840</w:t>
            </w:r>
          </w:p>
        </w:tc>
      </w:tr>
      <w:tr w:rsidR="00692ECD" w:rsidRPr="001539B5" w:rsidTr="002A425A">
        <w:tc>
          <w:tcPr>
            <w:tcW w:w="1358" w:type="pct"/>
            <w:shd w:val="clear" w:color="auto" w:fill="auto"/>
          </w:tcPr>
          <w:p w:rsidR="00692ECD" w:rsidRPr="00BC116E" w:rsidRDefault="00692ECD" w:rsidP="002A425A">
            <w:pPr>
              <w:rPr>
                <w:b/>
                <w:bCs/>
                <w:color w:val="0066CC"/>
                <w:lang w:val="en-GB" w:eastAsia="en-GB"/>
              </w:rPr>
            </w:pPr>
            <w:r w:rsidRPr="00BC116E">
              <w:rPr>
                <w:b/>
                <w:bCs/>
                <w:color w:val="0066CC"/>
                <w:lang w:val="en-GB" w:eastAsia="en-GB"/>
              </w:rPr>
              <w:t>Funding source</w:t>
            </w:r>
          </w:p>
        </w:tc>
        <w:tc>
          <w:tcPr>
            <w:tcW w:w="3642" w:type="pct"/>
            <w:shd w:val="clear" w:color="auto" w:fill="auto"/>
          </w:tcPr>
          <w:p w:rsidR="00692ECD" w:rsidRPr="00BC116E" w:rsidRDefault="00953151" w:rsidP="002A425A">
            <w:pPr>
              <w:rPr>
                <w:color w:val="000000"/>
                <w:lang w:val="en-GB" w:eastAsia="en-GB"/>
              </w:rPr>
            </w:pPr>
            <w:r>
              <w:rPr>
                <w:color w:val="000000"/>
                <w:lang w:val="en-GB" w:eastAsia="en-GB"/>
              </w:rPr>
              <w:t>Donor funds managed by EBRD</w:t>
            </w:r>
          </w:p>
        </w:tc>
      </w:tr>
      <w:tr w:rsidR="00692ECD" w:rsidRPr="001539B5" w:rsidTr="002A425A">
        <w:tc>
          <w:tcPr>
            <w:tcW w:w="1358" w:type="pct"/>
            <w:shd w:val="clear" w:color="auto" w:fill="auto"/>
          </w:tcPr>
          <w:p w:rsidR="00692ECD" w:rsidRPr="00BC116E" w:rsidRDefault="00692ECD" w:rsidP="002A425A">
            <w:pPr>
              <w:rPr>
                <w:b/>
                <w:bCs/>
                <w:color w:val="0066CC"/>
                <w:lang w:val="en-GB" w:eastAsia="en-GB"/>
              </w:rPr>
            </w:pPr>
            <w:r w:rsidRPr="00BC116E">
              <w:rPr>
                <w:b/>
                <w:bCs/>
                <w:color w:val="0066CC"/>
                <w:lang w:val="en-GB" w:eastAsia="en-GB"/>
              </w:rPr>
              <w:t>Type of contract</w:t>
            </w:r>
          </w:p>
        </w:tc>
        <w:tc>
          <w:tcPr>
            <w:tcW w:w="3642" w:type="pct"/>
            <w:shd w:val="clear" w:color="auto" w:fill="auto"/>
          </w:tcPr>
          <w:p w:rsidR="00692ECD" w:rsidRPr="00BC116E" w:rsidRDefault="00692ECD" w:rsidP="002A425A">
            <w:pPr>
              <w:rPr>
                <w:color w:val="000000"/>
                <w:lang w:val="en-GB" w:eastAsia="en-GB"/>
              </w:rPr>
            </w:pPr>
            <w:r w:rsidRPr="00BC116E">
              <w:rPr>
                <w:color w:val="000000"/>
                <w:lang w:val="en-GB" w:eastAsia="en-GB"/>
              </w:rPr>
              <w:t>Consultancy Services</w:t>
            </w:r>
          </w:p>
        </w:tc>
      </w:tr>
      <w:tr w:rsidR="00692ECD" w:rsidRPr="001539B5" w:rsidTr="002A425A">
        <w:tc>
          <w:tcPr>
            <w:tcW w:w="1358" w:type="pct"/>
            <w:shd w:val="clear" w:color="auto" w:fill="auto"/>
          </w:tcPr>
          <w:p w:rsidR="00692ECD" w:rsidRPr="00BC116E" w:rsidRDefault="00692ECD" w:rsidP="002A425A">
            <w:pPr>
              <w:rPr>
                <w:b/>
                <w:bCs/>
                <w:color w:val="0066CC"/>
                <w:lang w:val="en-GB" w:eastAsia="en-GB"/>
              </w:rPr>
            </w:pPr>
            <w:r w:rsidRPr="00BC116E">
              <w:rPr>
                <w:b/>
                <w:bCs/>
                <w:color w:val="0066CC"/>
                <w:lang w:val="en-GB" w:eastAsia="en-GB"/>
              </w:rPr>
              <w:t>Type of notice</w:t>
            </w:r>
          </w:p>
        </w:tc>
        <w:tc>
          <w:tcPr>
            <w:tcW w:w="3642" w:type="pct"/>
            <w:shd w:val="clear" w:color="auto" w:fill="auto"/>
          </w:tcPr>
          <w:p w:rsidR="00692ECD" w:rsidRPr="00BC116E" w:rsidRDefault="00692ECD" w:rsidP="002A425A">
            <w:pPr>
              <w:rPr>
                <w:color w:val="000000"/>
                <w:lang w:val="en-GB" w:eastAsia="en-GB"/>
              </w:rPr>
            </w:pPr>
            <w:r w:rsidRPr="00BC116E">
              <w:rPr>
                <w:color w:val="000000"/>
                <w:lang w:val="en-GB" w:eastAsia="en-GB"/>
              </w:rPr>
              <w:t>Request for Proposals</w:t>
            </w:r>
          </w:p>
        </w:tc>
      </w:tr>
      <w:tr w:rsidR="00692ECD" w:rsidRPr="001539B5" w:rsidTr="002A425A">
        <w:tc>
          <w:tcPr>
            <w:tcW w:w="1358" w:type="pct"/>
            <w:shd w:val="clear" w:color="auto" w:fill="auto"/>
          </w:tcPr>
          <w:p w:rsidR="00692ECD" w:rsidRPr="00BC116E" w:rsidRDefault="00692ECD" w:rsidP="002A425A">
            <w:pPr>
              <w:rPr>
                <w:b/>
                <w:bCs/>
                <w:color w:val="0066CC"/>
                <w:lang w:val="en-GB" w:eastAsia="en-GB"/>
              </w:rPr>
            </w:pPr>
            <w:r w:rsidRPr="00BC116E">
              <w:rPr>
                <w:b/>
                <w:bCs/>
                <w:color w:val="0066CC"/>
                <w:lang w:val="en-GB" w:eastAsia="en-GB"/>
              </w:rPr>
              <w:t>Issue date</w:t>
            </w:r>
          </w:p>
        </w:tc>
        <w:tc>
          <w:tcPr>
            <w:tcW w:w="3642" w:type="pct"/>
            <w:shd w:val="clear" w:color="auto" w:fill="auto"/>
          </w:tcPr>
          <w:p w:rsidR="00692ECD" w:rsidRPr="00BC116E" w:rsidRDefault="00953151" w:rsidP="002A425A">
            <w:pPr>
              <w:rPr>
                <w:color w:val="000000"/>
                <w:lang w:val="en-GB" w:eastAsia="en-GB"/>
              </w:rPr>
            </w:pPr>
            <w:r>
              <w:rPr>
                <w:color w:val="000000"/>
                <w:lang w:val="en-GB" w:eastAsia="en-GB"/>
              </w:rPr>
              <w:t>02-December-2019</w:t>
            </w:r>
          </w:p>
        </w:tc>
      </w:tr>
      <w:tr w:rsidR="00692ECD" w:rsidRPr="001539B5" w:rsidTr="002A425A">
        <w:tc>
          <w:tcPr>
            <w:tcW w:w="1358" w:type="pct"/>
            <w:shd w:val="clear" w:color="auto" w:fill="auto"/>
          </w:tcPr>
          <w:p w:rsidR="00692ECD" w:rsidRPr="00BC116E" w:rsidRDefault="00692ECD" w:rsidP="002A425A">
            <w:pPr>
              <w:rPr>
                <w:b/>
                <w:bCs/>
                <w:color w:val="0066CC"/>
                <w:lang w:val="en-GB" w:eastAsia="en-GB"/>
              </w:rPr>
            </w:pPr>
            <w:r w:rsidRPr="00BC116E">
              <w:rPr>
                <w:b/>
                <w:bCs/>
                <w:color w:val="0066CC"/>
                <w:lang w:val="en-GB" w:eastAsia="en-GB"/>
              </w:rPr>
              <w:t>Closing date</w:t>
            </w:r>
          </w:p>
        </w:tc>
        <w:tc>
          <w:tcPr>
            <w:tcW w:w="3642" w:type="pct"/>
            <w:shd w:val="clear" w:color="auto" w:fill="auto"/>
          </w:tcPr>
          <w:p w:rsidR="00692ECD" w:rsidRPr="00BC116E" w:rsidRDefault="00953151" w:rsidP="002A425A">
            <w:pPr>
              <w:jc w:val="both"/>
              <w:rPr>
                <w:color w:val="000000"/>
                <w:lang w:val="en-GB" w:eastAsia="en-GB"/>
              </w:rPr>
            </w:pPr>
            <w:r>
              <w:rPr>
                <w:bCs/>
                <w:color w:val="000000"/>
                <w:lang w:val="en-GB" w:eastAsia="en-GB"/>
              </w:rPr>
              <w:t>20 January 2020</w:t>
            </w:r>
          </w:p>
        </w:tc>
      </w:tr>
      <w:tr w:rsidR="00692ECD" w:rsidRPr="001539B5" w:rsidTr="002A425A">
        <w:tc>
          <w:tcPr>
            <w:tcW w:w="1358" w:type="pct"/>
            <w:shd w:val="clear" w:color="auto" w:fill="auto"/>
          </w:tcPr>
          <w:p w:rsidR="00692ECD" w:rsidRPr="00BC116E" w:rsidRDefault="00692ECD" w:rsidP="002A425A">
            <w:pPr>
              <w:rPr>
                <w:b/>
                <w:bCs/>
                <w:color w:val="0066CC"/>
                <w:lang w:val="en-GB" w:eastAsia="en-GB"/>
              </w:rPr>
            </w:pPr>
            <w:r>
              <w:rPr>
                <w:b/>
                <w:bCs/>
                <w:color w:val="0066CC"/>
                <w:lang w:val="en-GB" w:eastAsia="en-GB"/>
              </w:rPr>
              <w:t>Clarifications</w:t>
            </w:r>
          </w:p>
        </w:tc>
        <w:tc>
          <w:tcPr>
            <w:tcW w:w="3642" w:type="pct"/>
            <w:shd w:val="clear" w:color="auto" w:fill="auto"/>
          </w:tcPr>
          <w:p w:rsidR="00692ECD" w:rsidRPr="00BC116E" w:rsidRDefault="00692ECD" w:rsidP="00953151">
            <w:pPr>
              <w:jc w:val="both"/>
              <w:rPr>
                <w:bCs/>
                <w:color w:val="000000"/>
                <w:highlight w:val="yellow"/>
                <w:lang w:val="en-GB" w:eastAsia="en-GB"/>
              </w:rPr>
            </w:pPr>
            <w:r w:rsidRPr="000D49C6">
              <w:rPr>
                <w:bCs/>
                <w:color w:val="000000"/>
                <w:lang w:val="en-GB" w:eastAsia="en-GB"/>
              </w:rPr>
              <w:t>Check Regularly for clarifications.</w:t>
            </w:r>
            <w:r w:rsidR="00953151">
              <w:rPr>
                <w:bCs/>
                <w:color w:val="000000"/>
                <w:lang w:val="en-GB" w:eastAsia="en-GB"/>
              </w:rPr>
              <w:t xml:space="preserve"> </w:t>
            </w:r>
            <w:r w:rsidRPr="000D49C6">
              <w:rPr>
                <w:bCs/>
                <w:color w:val="000000"/>
                <w:lang w:val="en-GB" w:eastAsia="en-GB"/>
              </w:rPr>
              <w:t xml:space="preserve"> </w:t>
            </w:r>
          </w:p>
        </w:tc>
      </w:tr>
    </w:tbl>
    <w:p w:rsidR="00692ECD" w:rsidRPr="001539B5" w:rsidRDefault="00692ECD" w:rsidP="00692ECD">
      <w:pPr>
        <w:ind w:left="56"/>
        <w:rPr>
          <w:lang w:val="en-GB" w:eastAsia="en-GB"/>
        </w:rPr>
      </w:pPr>
    </w:p>
    <w:tbl>
      <w:tblPr>
        <w:tblW w:w="4910" w:type="pct"/>
        <w:jc w:val="center"/>
        <w:tblCellMar>
          <w:left w:w="0" w:type="dxa"/>
          <w:right w:w="0" w:type="dxa"/>
        </w:tblCellMar>
        <w:tblLook w:val="0000" w:firstRow="0" w:lastRow="0" w:firstColumn="0" w:lastColumn="0" w:noHBand="0" w:noVBand="0"/>
      </w:tblPr>
      <w:tblGrid>
        <w:gridCol w:w="8864"/>
      </w:tblGrid>
      <w:tr w:rsidR="00692ECD" w:rsidRPr="001539B5" w:rsidTr="002A425A">
        <w:trPr>
          <w:jc w:val="center"/>
        </w:trPr>
        <w:tc>
          <w:tcPr>
            <w:tcW w:w="5000" w:type="pct"/>
            <w:shd w:val="clear" w:color="auto" w:fill="auto"/>
            <w:vAlign w:val="center"/>
          </w:tcPr>
          <w:p w:rsidR="00692ECD" w:rsidRPr="00BC116E" w:rsidRDefault="00692ECD" w:rsidP="002A425A">
            <w:pPr>
              <w:ind w:right="108"/>
              <w:jc w:val="both"/>
              <w:rPr>
                <w:bCs/>
                <w:color w:val="000000"/>
                <w:lang w:val="en-GB"/>
              </w:rPr>
            </w:pPr>
          </w:p>
          <w:p w:rsidR="00692ECD" w:rsidRPr="00BC116E" w:rsidRDefault="00692ECD" w:rsidP="002A425A">
            <w:pPr>
              <w:ind w:right="108"/>
              <w:jc w:val="both"/>
              <w:rPr>
                <w:bCs/>
                <w:color w:val="000000"/>
                <w:lang w:val="en-GB"/>
              </w:rPr>
            </w:pPr>
          </w:p>
          <w:p w:rsidR="00692ECD" w:rsidRPr="00BC116E" w:rsidRDefault="00692ECD" w:rsidP="002A425A">
            <w:pPr>
              <w:ind w:right="108"/>
              <w:jc w:val="both"/>
              <w:rPr>
                <w:b/>
                <w:bCs/>
                <w:color w:val="000000"/>
                <w:lang w:val="en-GB"/>
              </w:rPr>
            </w:pPr>
            <w:r w:rsidRPr="00BC116E">
              <w:rPr>
                <w:b/>
                <w:bCs/>
                <w:color w:val="000000"/>
                <w:lang w:val="en-GB"/>
              </w:rPr>
              <w:t>Project Description:</w:t>
            </w:r>
          </w:p>
          <w:p w:rsidR="00692ECD" w:rsidRPr="00BC116E" w:rsidRDefault="00692ECD" w:rsidP="002A425A">
            <w:pPr>
              <w:ind w:right="108"/>
              <w:jc w:val="both"/>
              <w:rPr>
                <w:bCs/>
                <w:color w:val="000000"/>
                <w:lang w:val="en-GB"/>
              </w:rPr>
            </w:pPr>
          </w:p>
          <w:p w:rsidR="00953151" w:rsidRPr="00953151" w:rsidRDefault="00953151" w:rsidP="00953151">
            <w:pPr>
              <w:ind w:right="108"/>
              <w:jc w:val="both"/>
              <w:rPr>
                <w:lang w:val="en-GB"/>
              </w:rPr>
            </w:pPr>
            <w:r w:rsidRPr="00953151">
              <w:rPr>
                <w:lang w:val="en-GB"/>
              </w:rPr>
              <w:t xml:space="preserve">The Higher Council for Science and Technology (HCST) in Jordan (the “Client”) has been allocated grant funds (the “Grant”) from the MENA Transition Fund provided by the World Bank which are administered by the European Bank for Reconstruction and Development (EBRD) (the “Bank”) and executed by the HCST (the "Client"). The Client intends to apply the funds to eligible payments under the contract for which this Request for Proposals is issued. </w:t>
            </w:r>
          </w:p>
          <w:p w:rsidR="00953151" w:rsidRPr="00953151" w:rsidRDefault="00953151" w:rsidP="00953151">
            <w:pPr>
              <w:ind w:right="108"/>
              <w:jc w:val="both"/>
              <w:rPr>
                <w:lang w:val="en-GB"/>
              </w:rPr>
            </w:pPr>
          </w:p>
          <w:p w:rsidR="00692ECD" w:rsidRPr="00BC116E" w:rsidRDefault="00953151" w:rsidP="002A425A">
            <w:pPr>
              <w:ind w:right="108"/>
              <w:jc w:val="both"/>
              <w:rPr>
                <w:bCs/>
                <w:color w:val="000000"/>
                <w:lang w:val="en-GB"/>
              </w:rPr>
            </w:pPr>
            <w:r w:rsidRPr="00953151">
              <w:rPr>
                <w:lang w:val="en-GB"/>
              </w:rPr>
              <w:t>The Client now invites proposals to provide the following consulting services (hereinafter called “Services”): DEVELOPMENT AND MAINTENANCE OF THE NCI JORDAN OPEN INNOVATION PLATFORM (JOIP)</w:t>
            </w:r>
            <w:r>
              <w:rPr>
                <w:lang w:val="en-GB"/>
              </w:rPr>
              <w:t xml:space="preserve">, as described in the attached Request for Proposals document. </w:t>
            </w:r>
          </w:p>
          <w:p w:rsidR="007E733A" w:rsidRDefault="007E733A" w:rsidP="002A425A">
            <w:pPr>
              <w:tabs>
                <w:tab w:val="left" w:pos="540"/>
              </w:tabs>
              <w:autoSpaceDE w:val="0"/>
              <w:autoSpaceDN w:val="0"/>
              <w:adjustRightInd w:val="0"/>
              <w:ind w:left="540" w:right="108" w:hanging="540"/>
              <w:jc w:val="both"/>
              <w:rPr>
                <w:b/>
                <w:bCs/>
                <w:color w:val="000000"/>
                <w:lang w:val="en-GB"/>
              </w:rPr>
            </w:pPr>
          </w:p>
          <w:p w:rsidR="007E733A" w:rsidRPr="00075DCB" w:rsidRDefault="007E733A" w:rsidP="00075DCB">
            <w:pPr>
              <w:ind w:right="108"/>
              <w:jc w:val="both"/>
            </w:pPr>
            <w:r w:rsidRPr="001539B5">
              <w:rPr>
                <w:lang w:val="en" w:eastAsia="en-GB"/>
              </w:rPr>
              <w:t>[</w:t>
            </w:r>
            <w:r w:rsidR="00075DCB">
              <w:rPr>
                <w:rStyle w:val="gmaildefault"/>
                <w:rFonts w:ascii="Tahoma" w:hAnsi="Tahoma" w:cs="Tahoma"/>
                <w:color w:val="444444"/>
              </w:rPr>
              <w:t>​</w:t>
            </w:r>
            <w:hyperlink r:id="rId7" w:history="1">
              <w:r w:rsidR="00A6026A">
                <w:rPr>
                  <w:rStyle w:val="Hyperlink"/>
                </w:rPr>
                <w:t>https://www.ebrd.com/work-with-us/procurement/n</w:t>
              </w:r>
              <w:bookmarkStart w:id="4" w:name="_GoBack"/>
              <w:bookmarkEnd w:id="4"/>
              <w:r w:rsidR="00A6026A">
                <w:rPr>
                  <w:rStyle w:val="Hyperlink"/>
                </w:rPr>
                <w:t>o</w:t>
              </w:r>
              <w:r w:rsidR="00A6026A">
                <w:rPr>
                  <w:rStyle w:val="Hyperlink"/>
                </w:rPr>
                <w:t>tices.html</w:t>
              </w:r>
            </w:hyperlink>
            <w:r w:rsidRPr="001539B5">
              <w:rPr>
                <w:lang w:val="en" w:eastAsia="en-GB"/>
              </w:rPr>
              <w:t>]</w:t>
            </w:r>
          </w:p>
          <w:p w:rsidR="00692ECD" w:rsidRPr="00BC116E" w:rsidRDefault="00692ECD" w:rsidP="002A425A">
            <w:pPr>
              <w:tabs>
                <w:tab w:val="left" w:pos="540"/>
              </w:tabs>
              <w:autoSpaceDE w:val="0"/>
              <w:autoSpaceDN w:val="0"/>
              <w:adjustRightInd w:val="0"/>
              <w:ind w:left="540" w:right="108" w:hanging="540"/>
              <w:jc w:val="both"/>
              <w:rPr>
                <w:lang w:val="en-GB" w:eastAsia="en-GB"/>
              </w:rPr>
            </w:pPr>
          </w:p>
          <w:p w:rsidR="00692ECD" w:rsidRPr="00BC116E" w:rsidRDefault="00692ECD" w:rsidP="002A425A">
            <w:pPr>
              <w:ind w:right="108"/>
              <w:jc w:val="both"/>
              <w:rPr>
                <w:bCs/>
                <w:color w:val="000000"/>
                <w:lang w:val="en-GB"/>
              </w:rPr>
            </w:pPr>
            <w:r w:rsidRPr="00BC116E">
              <w:rPr>
                <w:bCs/>
                <w:color w:val="000000"/>
                <w:lang w:val="en-GB"/>
              </w:rPr>
              <w:t>Interested firms o</w:t>
            </w:r>
            <w:r w:rsidR="001112BE">
              <w:rPr>
                <w:bCs/>
                <w:color w:val="000000"/>
                <w:lang w:val="en-GB"/>
              </w:rPr>
              <w:t>r</w:t>
            </w:r>
            <w:r w:rsidRPr="00BC116E">
              <w:rPr>
                <w:bCs/>
                <w:color w:val="000000"/>
                <w:lang w:val="en-GB"/>
              </w:rPr>
              <w:t xml:space="preserve"> groups of firms are invited to submit a Technical and Financial Proposal.</w:t>
            </w:r>
          </w:p>
          <w:p w:rsidR="00692ECD" w:rsidRPr="00BC116E" w:rsidRDefault="00692ECD" w:rsidP="002A425A">
            <w:pPr>
              <w:ind w:right="108"/>
              <w:jc w:val="both"/>
              <w:rPr>
                <w:b/>
                <w:lang w:val="en-GB"/>
              </w:rPr>
            </w:pPr>
          </w:p>
          <w:p w:rsidR="00692ECD" w:rsidRPr="00BC116E" w:rsidRDefault="00692ECD" w:rsidP="002A425A">
            <w:pPr>
              <w:ind w:right="108"/>
              <w:jc w:val="both"/>
              <w:rPr>
                <w:bCs/>
                <w:color w:val="000000"/>
                <w:lang w:val="en-GB"/>
              </w:rPr>
            </w:pPr>
            <w:r w:rsidRPr="00BC116E">
              <w:rPr>
                <w:b/>
                <w:color w:val="000000"/>
                <w:lang w:val="en-GB"/>
              </w:rPr>
              <w:t>Submission Requirements</w:t>
            </w:r>
            <w:r w:rsidRPr="00BC116E">
              <w:rPr>
                <w:bCs/>
                <w:color w:val="000000"/>
                <w:lang w:val="en-GB"/>
              </w:rPr>
              <w:t xml:space="preserve">: In order to determine the capability and experience of Consultants seeking to be selected, the consultant shall submit a </w:t>
            </w:r>
            <w:r>
              <w:rPr>
                <w:bCs/>
                <w:color w:val="000000"/>
                <w:lang w:val="en-GB"/>
              </w:rPr>
              <w:t>Proposal</w:t>
            </w:r>
            <w:r w:rsidRPr="00BC116E">
              <w:rPr>
                <w:bCs/>
                <w:color w:val="000000"/>
                <w:lang w:val="en-GB"/>
              </w:rPr>
              <w:t xml:space="preserve"> in accordance with the </w:t>
            </w:r>
            <w:r>
              <w:rPr>
                <w:bCs/>
                <w:color w:val="000000"/>
                <w:lang w:val="en-GB"/>
              </w:rPr>
              <w:t>RFP</w:t>
            </w:r>
            <w:r w:rsidRPr="00BC116E">
              <w:rPr>
                <w:bCs/>
                <w:color w:val="000000"/>
                <w:lang w:val="en-GB"/>
              </w:rPr>
              <w:t xml:space="preserve">. </w:t>
            </w:r>
          </w:p>
          <w:p w:rsidR="00692ECD" w:rsidRPr="00BC116E" w:rsidRDefault="00692ECD" w:rsidP="002A425A">
            <w:pPr>
              <w:ind w:right="108"/>
              <w:jc w:val="both"/>
              <w:rPr>
                <w:bCs/>
                <w:color w:val="000000"/>
                <w:lang w:val="en-GB"/>
              </w:rPr>
            </w:pPr>
          </w:p>
          <w:p w:rsidR="00692ECD" w:rsidRPr="00BC116E" w:rsidRDefault="00692ECD" w:rsidP="002A425A">
            <w:pPr>
              <w:ind w:right="108"/>
              <w:jc w:val="both"/>
              <w:rPr>
                <w:bCs/>
                <w:color w:val="000000"/>
                <w:lang w:val="en-GB"/>
              </w:rPr>
            </w:pPr>
          </w:p>
          <w:p w:rsidR="00692ECD" w:rsidRPr="00BC116E" w:rsidRDefault="00692ECD" w:rsidP="002A425A">
            <w:pPr>
              <w:ind w:right="108"/>
              <w:jc w:val="both"/>
              <w:rPr>
                <w:bCs/>
                <w:color w:val="000000"/>
                <w:lang w:val="en-GB"/>
              </w:rPr>
            </w:pPr>
            <w:r w:rsidRPr="00BC116E">
              <w:rPr>
                <w:b/>
                <w:bCs/>
                <w:color w:val="000000"/>
                <w:lang w:val="en-GB"/>
              </w:rPr>
              <w:t>Important Notes:</w:t>
            </w:r>
          </w:p>
          <w:p w:rsidR="00692ECD" w:rsidRPr="00BC116E" w:rsidRDefault="00692ECD" w:rsidP="002A425A">
            <w:pPr>
              <w:ind w:right="108"/>
              <w:jc w:val="both"/>
              <w:rPr>
                <w:bCs/>
                <w:color w:val="000000"/>
                <w:lang w:val="en-GB"/>
              </w:rPr>
            </w:pPr>
          </w:p>
          <w:p w:rsidR="00692ECD" w:rsidRPr="00BC116E" w:rsidRDefault="00692ECD" w:rsidP="002A425A">
            <w:pPr>
              <w:ind w:right="108"/>
              <w:jc w:val="both"/>
              <w:rPr>
                <w:bCs/>
                <w:color w:val="000000"/>
                <w:lang w:val="en-GB"/>
              </w:rPr>
            </w:pPr>
            <w:r w:rsidRPr="00BC116E">
              <w:rPr>
                <w:bCs/>
                <w:color w:val="000000"/>
                <w:lang w:val="en-GB"/>
              </w:rPr>
              <w:t xml:space="preserve">1. The selection will normally be made from the Proposals received in response to this notification only, on the basis of the selection criteria set out in the </w:t>
            </w:r>
            <w:r>
              <w:rPr>
                <w:bCs/>
                <w:color w:val="000000"/>
                <w:lang w:val="en-GB"/>
              </w:rPr>
              <w:t>RFP</w:t>
            </w:r>
            <w:r w:rsidRPr="00BC116E">
              <w:rPr>
                <w:bCs/>
                <w:color w:val="000000"/>
                <w:lang w:val="en-GB"/>
              </w:rPr>
              <w:t xml:space="preserve">. The highest-ranked Consultant will be selected and be invited to negotiate the contract, subject to </w:t>
            </w:r>
            <w:r w:rsidRPr="00BC116E">
              <w:rPr>
                <w:bCs/>
                <w:color w:val="000000"/>
                <w:lang w:val="en-GB"/>
              </w:rPr>
              <w:lastRenderedPageBreak/>
              <w:t>availability of funding.</w:t>
            </w:r>
          </w:p>
          <w:p w:rsidR="00692ECD" w:rsidRPr="00BC116E" w:rsidRDefault="00692ECD" w:rsidP="002A425A">
            <w:pPr>
              <w:ind w:right="108"/>
              <w:jc w:val="both"/>
              <w:rPr>
                <w:bCs/>
                <w:color w:val="000000"/>
                <w:lang w:val="en"/>
              </w:rPr>
            </w:pPr>
          </w:p>
          <w:p w:rsidR="00692ECD" w:rsidRPr="00BC116E" w:rsidRDefault="00692ECD" w:rsidP="002A425A">
            <w:pPr>
              <w:ind w:right="108"/>
              <w:jc w:val="both"/>
              <w:rPr>
                <w:bCs/>
                <w:color w:val="000000"/>
                <w:lang w:val="en"/>
              </w:rPr>
            </w:pPr>
            <w:r w:rsidRPr="00BC116E">
              <w:rPr>
                <w:bCs/>
                <w:color w:val="000000"/>
                <w:lang w:val="en"/>
              </w:rPr>
              <w:t>2.</w:t>
            </w:r>
            <w:r w:rsidRPr="00BC116E">
              <w:rPr>
                <w:b/>
                <w:bCs/>
                <w:color w:val="000000"/>
                <w:lang w:val="en"/>
              </w:rPr>
              <w:t xml:space="preserve"> </w:t>
            </w:r>
            <w:r w:rsidRPr="00BC116E">
              <w:rPr>
                <w:bCs/>
                <w:color w:val="000000"/>
                <w:lang w:val="en"/>
              </w:rPr>
              <w:t xml:space="preserve">Any updates of and clarifications on this procurement notice and/or the </w:t>
            </w:r>
            <w:r>
              <w:rPr>
                <w:bCs/>
                <w:color w:val="000000"/>
                <w:lang w:val="en"/>
              </w:rPr>
              <w:t>RFP</w:t>
            </w:r>
            <w:r w:rsidRPr="00BC116E">
              <w:rPr>
                <w:bCs/>
                <w:color w:val="000000"/>
                <w:lang w:val="en"/>
              </w:rPr>
              <w:t xml:space="preserve"> shall be announced as updates on this notice, without any other notification. In the event of changes to the </w:t>
            </w:r>
            <w:r>
              <w:rPr>
                <w:bCs/>
                <w:color w:val="000000"/>
                <w:lang w:val="en"/>
              </w:rPr>
              <w:t>RFP</w:t>
            </w:r>
            <w:r w:rsidRPr="00BC116E">
              <w:rPr>
                <w:bCs/>
                <w:color w:val="000000"/>
                <w:lang w:val="en"/>
              </w:rPr>
              <w:t xml:space="preserve">, consultants will need to download the updated version of the </w:t>
            </w:r>
            <w:r>
              <w:rPr>
                <w:bCs/>
                <w:color w:val="000000"/>
                <w:lang w:val="en"/>
              </w:rPr>
              <w:t>RFP</w:t>
            </w:r>
            <w:r w:rsidRPr="00BC116E">
              <w:rPr>
                <w:bCs/>
                <w:color w:val="000000"/>
                <w:lang w:val="en"/>
              </w:rPr>
              <w:t>. Consultants are required to periodically check the notice for updates. Failure to take the updates into account while preparing the Proposal may result in disqualification or penalties to the scores in the evaluation.</w:t>
            </w:r>
          </w:p>
          <w:p w:rsidR="00692ECD" w:rsidRPr="00BC116E" w:rsidRDefault="00692ECD" w:rsidP="002A425A">
            <w:pPr>
              <w:ind w:right="108"/>
              <w:jc w:val="both"/>
              <w:rPr>
                <w:lang w:val="en-GB"/>
              </w:rPr>
            </w:pPr>
          </w:p>
        </w:tc>
      </w:tr>
    </w:tbl>
    <w:p w:rsidR="0023232A" w:rsidRDefault="0023232A"/>
    <w:sectPr w:rsidR="0023232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5E58" w:rsidRDefault="00105E58" w:rsidP="00692ECD">
      <w:r>
        <w:separator/>
      </w:r>
    </w:p>
  </w:endnote>
  <w:endnote w:type="continuationSeparator" w:id="0">
    <w:p w:rsidR="00105E58" w:rsidRDefault="00105E58" w:rsidP="00692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ECD" w:rsidRDefault="00B020D7" w:rsidP="007E733A">
    <w:pPr>
      <w:pStyle w:val="Footer"/>
      <w:jc w:val="center"/>
    </w:pPr>
    <w:fldSimple w:instr=" DOCPROPERTY bjFooterEvenPageDocProperty \* MERGEFORMAT " w:fldLock="1">
      <w:r w:rsidR="007E733A" w:rsidRPr="007E733A">
        <w:rPr>
          <w:rFonts w:ascii="Arial" w:hAnsi="Arial" w:cs="Arial"/>
          <w:color w:val="00C000"/>
          <w:sz w:val="18"/>
        </w:rPr>
        <w:t>PUBLIC</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ECD" w:rsidRDefault="00B020D7" w:rsidP="007E733A">
    <w:pPr>
      <w:pStyle w:val="Footer"/>
      <w:jc w:val="center"/>
    </w:pPr>
    <w:fldSimple w:instr=" DOCPROPERTY bjFooterBothDocProperty \* MERGEFORMAT " w:fldLock="1">
      <w:r w:rsidR="007E733A" w:rsidRPr="007E733A">
        <w:rPr>
          <w:rFonts w:ascii="Arial" w:hAnsi="Arial" w:cs="Arial"/>
          <w:color w:val="00C000"/>
          <w:sz w:val="18"/>
        </w:rPr>
        <w:t>PUBLIC</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ECD" w:rsidRDefault="00B020D7" w:rsidP="007E733A">
    <w:pPr>
      <w:pStyle w:val="Footer"/>
      <w:jc w:val="center"/>
    </w:pPr>
    <w:fldSimple w:instr=" DOCPROPERTY bjFooterFirstPageDocProperty \* MERGEFORMAT " w:fldLock="1">
      <w:r w:rsidR="007E733A" w:rsidRPr="007E733A">
        <w:rPr>
          <w:rFonts w:ascii="Arial" w:hAnsi="Arial" w:cs="Arial"/>
          <w:color w:val="00C000"/>
          <w:sz w:val="18"/>
        </w:rPr>
        <w:t>PUBLIC</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5E58" w:rsidRDefault="00105E58" w:rsidP="00692ECD">
      <w:r>
        <w:separator/>
      </w:r>
    </w:p>
  </w:footnote>
  <w:footnote w:type="continuationSeparator" w:id="0">
    <w:p w:rsidR="00105E58" w:rsidRDefault="00105E58" w:rsidP="00692E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ECD" w:rsidRDefault="00B020D7" w:rsidP="007E733A">
    <w:pPr>
      <w:pStyle w:val="Header"/>
      <w:jc w:val="center"/>
    </w:pPr>
    <w:fldSimple w:instr=" DOCPROPERTY bjHeaderEvenPageDocProperty \* MERGEFORMAT " w:fldLock="1">
      <w:r w:rsidR="007E733A" w:rsidRPr="007E733A">
        <w:rPr>
          <w:rFonts w:ascii="Arial" w:hAnsi="Arial" w:cs="Arial"/>
          <w:color w:val="00C000"/>
          <w:sz w:val="18"/>
        </w:rPr>
        <w:t>PUBLIC</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ECD" w:rsidRDefault="00B020D7" w:rsidP="007E733A">
    <w:pPr>
      <w:pStyle w:val="Header"/>
      <w:jc w:val="center"/>
    </w:pPr>
    <w:fldSimple w:instr=" DOCPROPERTY bjHeaderBothDocProperty \* MERGEFORMAT " w:fldLock="1">
      <w:r w:rsidR="007E733A" w:rsidRPr="007E733A">
        <w:rPr>
          <w:rFonts w:ascii="Arial" w:hAnsi="Arial" w:cs="Arial"/>
          <w:color w:val="00C000"/>
          <w:sz w:val="18"/>
        </w:rPr>
        <w:t>PUBLIC</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ECD" w:rsidRDefault="00B020D7" w:rsidP="007E733A">
    <w:pPr>
      <w:pStyle w:val="Header"/>
      <w:jc w:val="center"/>
    </w:pPr>
    <w:fldSimple w:instr=" DOCPROPERTY bjHeaderFirstPageDocProperty \* MERGEFORMAT " w:fldLock="1">
      <w:r w:rsidR="007E733A" w:rsidRPr="007E733A">
        <w:rPr>
          <w:rFonts w:ascii="Arial" w:hAnsi="Arial" w:cs="Arial"/>
          <w:color w:val="00C000"/>
          <w:sz w:val="18"/>
        </w:rPr>
        <w:t>PUBLIC</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2ECD"/>
    <w:rsid w:val="00075DCB"/>
    <w:rsid w:val="00105E58"/>
    <w:rsid w:val="001068C4"/>
    <w:rsid w:val="001112BE"/>
    <w:rsid w:val="0023232A"/>
    <w:rsid w:val="005D0060"/>
    <w:rsid w:val="00692ECD"/>
    <w:rsid w:val="007E733A"/>
    <w:rsid w:val="00866247"/>
    <w:rsid w:val="008C70D3"/>
    <w:rsid w:val="00953151"/>
    <w:rsid w:val="00A6026A"/>
    <w:rsid w:val="00A818C9"/>
    <w:rsid w:val="00AA20A3"/>
    <w:rsid w:val="00B020D7"/>
    <w:rsid w:val="00F6506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A791EB"/>
  <w15:docId w15:val="{01EE3AA9-C387-42EC-84D7-AD3B48383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2ECD"/>
    <w:pPr>
      <w:spacing w:before="0" w:beforeAutospacing="0" w:after="0" w:afterAutospacing="0"/>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2ECD"/>
    <w:pPr>
      <w:tabs>
        <w:tab w:val="center" w:pos="4513"/>
        <w:tab w:val="right" w:pos="9026"/>
      </w:tabs>
      <w:spacing w:beforeAutospacing="1" w:afterAutospacing="1"/>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692ECD"/>
  </w:style>
  <w:style w:type="paragraph" w:styleId="Footer">
    <w:name w:val="footer"/>
    <w:basedOn w:val="Normal"/>
    <w:link w:val="FooterChar"/>
    <w:uiPriority w:val="99"/>
    <w:unhideWhenUsed/>
    <w:rsid w:val="00692ECD"/>
    <w:pPr>
      <w:tabs>
        <w:tab w:val="center" w:pos="4513"/>
        <w:tab w:val="right" w:pos="9026"/>
      </w:tabs>
      <w:spacing w:beforeAutospacing="1" w:afterAutospacing="1"/>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692ECD"/>
  </w:style>
  <w:style w:type="paragraph" w:styleId="ListParagraph">
    <w:name w:val="List Paragraph"/>
    <w:basedOn w:val="Normal"/>
    <w:uiPriority w:val="34"/>
    <w:qFormat/>
    <w:rsid w:val="00692ECD"/>
    <w:pPr>
      <w:ind w:left="720"/>
      <w:contextualSpacing/>
    </w:pPr>
  </w:style>
  <w:style w:type="paragraph" w:styleId="BalloonText">
    <w:name w:val="Balloon Text"/>
    <w:basedOn w:val="Normal"/>
    <w:link w:val="BalloonTextChar"/>
    <w:uiPriority w:val="99"/>
    <w:semiHidden/>
    <w:unhideWhenUsed/>
    <w:rsid w:val="00953151"/>
    <w:rPr>
      <w:rFonts w:ascii="Tahoma" w:hAnsi="Tahoma" w:cs="Tahoma"/>
      <w:sz w:val="16"/>
      <w:szCs w:val="16"/>
    </w:rPr>
  </w:style>
  <w:style w:type="character" w:customStyle="1" w:styleId="BalloonTextChar">
    <w:name w:val="Balloon Text Char"/>
    <w:basedOn w:val="DefaultParagraphFont"/>
    <w:link w:val="BalloonText"/>
    <w:uiPriority w:val="99"/>
    <w:semiHidden/>
    <w:rsid w:val="00953151"/>
    <w:rPr>
      <w:rFonts w:ascii="Tahoma" w:eastAsia="Times New Roman" w:hAnsi="Tahoma" w:cs="Tahoma"/>
      <w:sz w:val="16"/>
      <w:szCs w:val="16"/>
      <w:lang w:val="en-US"/>
    </w:rPr>
  </w:style>
  <w:style w:type="character" w:customStyle="1" w:styleId="gmaildefault">
    <w:name w:val="gmail_default"/>
    <w:basedOn w:val="DefaultParagraphFont"/>
    <w:rsid w:val="00075DCB"/>
  </w:style>
  <w:style w:type="character" w:styleId="Hyperlink">
    <w:name w:val="Hyperlink"/>
    <w:basedOn w:val="DefaultParagraphFont"/>
    <w:uiPriority w:val="99"/>
    <w:unhideWhenUsed/>
    <w:rsid w:val="00A6026A"/>
    <w:rPr>
      <w:color w:val="0000FF" w:themeColor="hyperlink"/>
      <w:u w:val="single"/>
    </w:rPr>
  </w:style>
  <w:style w:type="character" w:styleId="UnresolvedMention">
    <w:name w:val="Unresolved Mention"/>
    <w:basedOn w:val="DefaultParagraphFont"/>
    <w:uiPriority w:val="99"/>
    <w:semiHidden/>
    <w:unhideWhenUsed/>
    <w:rsid w:val="00A6026A"/>
    <w:rPr>
      <w:color w:val="605E5C"/>
      <w:shd w:val="clear" w:color="auto" w:fill="E1DFDD"/>
    </w:rPr>
  </w:style>
  <w:style w:type="character" w:styleId="FollowedHyperlink">
    <w:name w:val="FollowedHyperlink"/>
    <w:basedOn w:val="DefaultParagraphFont"/>
    <w:uiPriority w:val="99"/>
    <w:semiHidden/>
    <w:unhideWhenUsed/>
    <w:rsid w:val="00A602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ebrd.com/work-with-us/procurement/notices.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d45786f-a737-4735-8af6-df12fb6939a2" origin="userSelected">
  <element uid="3f2bf68e-965f-4645-8d3a-c9eb7a3821bd" value=""/>
  <element uid="id_classification_nonbusiness" value=""/>
</sisl>
</file>

<file path=customXml/itemProps1.xml><?xml version="1.0" encoding="utf-8"?>
<ds:datastoreItem xmlns:ds="http://schemas.openxmlformats.org/officeDocument/2006/customXml" ds:itemID="{17191CF7-69B8-4237-B14F-347737D8F02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EBRD</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BERTJ</dc:creator>
  <cp:keywords>[EBRD/PUBLIC]</cp:keywords>
  <cp:lastModifiedBy>Hasan</cp:lastModifiedBy>
  <cp:revision>10</cp:revision>
  <dcterms:created xsi:type="dcterms:W3CDTF">2018-10-03T13:49:00Z</dcterms:created>
  <dcterms:modified xsi:type="dcterms:W3CDTF">2019-12-01T11:00:00Z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6a9d4ae0-20ef-487c-bcf4-6127e80cbfea</vt:lpwstr>
  </property>
  <property fmtid="{D5CDD505-2E9C-101B-9397-08002B2CF9AE}" pid="3" name="bjSaver">
    <vt:lpwstr>8+n74+dw3W+CGdwlcWXEwVTu6HS9Xdqp</vt:lpwstr>
  </property>
  <property fmtid="{D5CDD505-2E9C-101B-9397-08002B2CF9AE}" pid="4" name="bjDocumentLabelXML">
    <vt:lpwstr>&lt;?xml version="1.0" encoding="us-ascii"?&gt;&lt;sisl xmlns:xsi="http://www.w3.org/2001/XMLSchema-instance" xmlns:xsd="http://www.w3.org/2001/XMLSchema" sislVersion="0" policy="1d45786f-a737-4735-8af6-df12fb6939a2" origin="userSelected" xmlns="http://www.boldonj</vt:lpwstr>
  </property>
  <property fmtid="{D5CDD505-2E9C-101B-9397-08002B2CF9AE}" pid="5" name="bjDocumentLabelXML-0">
    <vt:lpwstr>ames.com/2008/01/sie/internal/label"&gt;&lt;element uid="3f2bf68e-965f-4645-8d3a-c9eb7a3821bd" value="" /&gt;&lt;element uid="id_classification_nonbusiness" value="" /&gt;&lt;/sisl&gt;</vt:lpwstr>
  </property>
  <property fmtid="{D5CDD505-2E9C-101B-9397-08002B2CF9AE}" pid="6" name="bjDocumentSecurityLabel">
    <vt:lpwstr>PUBLIC</vt:lpwstr>
  </property>
  <property fmtid="{D5CDD505-2E9C-101B-9397-08002B2CF9AE}" pid="7" name="bjHeaderBothDocProperty">
    <vt:lpwstr>PUBLIC</vt:lpwstr>
  </property>
  <property fmtid="{D5CDD505-2E9C-101B-9397-08002B2CF9AE}" pid="8" name="bjHeaderFirstPageDocProperty">
    <vt:lpwstr>PUBLIC</vt:lpwstr>
  </property>
  <property fmtid="{D5CDD505-2E9C-101B-9397-08002B2CF9AE}" pid="9" name="bjHeaderEvenPageDocProperty">
    <vt:lpwstr>PUBLIC</vt:lpwstr>
  </property>
  <property fmtid="{D5CDD505-2E9C-101B-9397-08002B2CF9AE}" pid="10" name="bjFooterBothDocProperty">
    <vt:lpwstr>PUBLIC</vt:lpwstr>
  </property>
  <property fmtid="{D5CDD505-2E9C-101B-9397-08002B2CF9AE}" pid="11" name="bjFooterFirstPageDocProperty">
    <vt:lpwstr>PUBLIC</vt:lpwstr>
  </property>
  <property fmtid="{D5CDD505-2E9C-101B-9397-08002B2CF9AE}" pid="12" name="bjFooterEvenPageDocProperty">
    <vt:lpwstr>PUBLIC</vt:lpwstr>
  </property>
</Properties>
</file>